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A252" w14:textId="77777777" w:rsidR="008719CC" w:rsidRPr="00D979F8" w:rsidRDefault="00000000">
      <w:pPr>
        <w:jc w:val="center"/>
        <w:rPr>
          <w:lang w:val="pl-PL"/>
        </w:rPr>
      </w:pPr>
      <w:r w:rsidRPr="00D979F8">
        <w:rPr>
          <w:b/>
          <w:sz w:val="28"/>
          <w:lang w:val="pl-PL"/>
        </w:rPr>
        <w:t>URZĄD MIASTA NOWOCZESNA PRZESTRZEŃ</w:t>
      </w:r>
    </w:p>
    <w:p w14:paraId="3484A35E" w14:textId="50D1355A" w:rsidR="008719CC" w:rsidRPr="00D979F8" w:rsidRDefault="00D576DB" w:rsidP="00D576DB">
      <w:pPr>
        <w:pStyle w:val="Tytu"/>
        <w:rPr>
          <w:lang w:val="pl-PL"/>
        </w:rPr>
      </w:pPr>
      <w:r>
        <w:rPr>
          <w:lang w:val="pl-PL"/>
        </w:rPr>
        <w:t xml:space="preserve">Ramowa </w:t>
      </w:r>
      <w:r>
        <w:rPr>
          <w:lang w:val="pl-PL"/>
        </w:rPr>
        <w:br/>
        <w:t>P</w:t>
      </w:r>
      <w:r w:rsidR="00000000" w:rsidRPr="00D979F8">
        <w:rPr>
          <w:lang w:val="pl-PL"/>
        </w:rPr>
        <w:t>rocedura badania i oceniania dostępności cyfrowej</w:t>
      </w:r>
    </w:p>
    <w:p w14:paraId="5F7C1DEB" w14:textId="77777777" w:rsidR="008719CC" w:rsidRPr="00D979F8" w:rsidRDefault="00000000">
      <w:pPr>
        <w:jc w:val="center"/>
        <w:rPr>
          <w:lang w:val="pl-PL"/>
        </w:rPr>
      </w:pPr>
      <w:r w:rsidRPr="00D979F8">
        <w:rPr>
          <w:sz w:val="24"/>
          <w:lang w:val="pl-PL"/>
        </w:rPr>
        <w:t>stron internetowych i aplikacji mobilnych podmiotu publicznego</w:t>
      </w:r>
    </w:p>
    <w:p w14:paraId="3794B93B" w14:textId="21B05B39" w:rsidR="008719CC" w:rsidRPr="00D979F8" w:rsidRDefault="00D576DB" w:rsidP="00D576DB">
      <w:pPr>
        <w:spacing w:before="320"/>
        <w:jc w:val="center"/>
        <w:rPr>
          <w:lang w:val="pl-PL"/>
        </w:rPr>
      </w:pPr>
      <w:r w:rsidRPr="00D979F8">
        <w:rPr>
          <w:lang w:val="pl-PL"/>
        </w:rPr>
        <w:t xml:space="preserve"> </w:t>
      </w:r>
      <w:r w:rsidR="00000000" w:rsidRPr="00D979F8">
        <w:rPr>
          <w:lang w:val="pl-PL"/>
        </w:rPr>
        <w:t>[Miejsce na logo jednostki]</w:t>
      </w:r>
    </w:p>
    <w:p w14:paraId="5F92E5BF" w14:textId="08021043" w:rsidR="008719CC" w:rsidRPr="00D979F8" w:rsidRDefault="00000000" w:rsidP="00D576DB">
      <w:pPr>
        <w:spacing w:before="320"/>
        <w:jc w:val="center"/>
        <w:rPr>
          <w:lang w:val="pl-PL"/>
        </w:rPr>
      </w:pPr>
      <w:r w:rsidRPr="00D979F8">
        <w:rPr>
          <w:lang w:val="pl-PL"/>
        </w:rPr>
        <w:t>Nowoczesna Przestrzeń, listopad 2025 r.</w:t>
      </w:r>
      <w:r w:rsidRPr="00D979F8">
        <w:rPr>
          <w:lang w:val="pl-PL"/>
        </w:rPr>
        <w:br/>
        <w:t>Obowiązuje od 1 stycznia 2026 r.</w:t>
      </w:r>
    </w:p>
    <w:p w14:paraId="2184BE02" w14:textId="77777777" w:rsidR="008719CC" w:rsidRPr="00D979F8" w:rsidRDefault="00000000">
      <w:pPr>
        <w:rPr>
          <w:lang w:val="pl-PL"/>
        </w:rPr>
      </w:pPr>
      <w:r w:rsidRPr="00D979F8">
        <w:rPr>
          <w:lang w:val="pl-PL"/>
        </w:rPr>
        <w:br w:type="page"/>
      </w:r>
    </w:p>
    <w:p w14:paraId="7C7A2299" w14:textId="77777777" w:rsidR="008719CC" w:rsidRDefault="00000000">
      <w:pPr>
        <w:pStyle w:val="Nagwek2"/>
      </w:pPr>
      <w:r>
        <w:lastRenderedPageBreak/>
        <w:t xml:space="preserve">1. Cel </w:t>
      </w:r>
      <w:proofErr w:type="spellStart"/>
      <w:r>
        <w:t>procedury</w:t>
      </w:r>
      <w:proofErr w:type="spellEnd"/>
    </w:p>
    <w:p w14:paraId="748E398C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Celem procedury jest zapewnienie zgodności serwisów internetowych i aplikacji mobilnych podmiotu z przepisami ustawy z dnia 4 kwietnia 2019 r. o dostępności cyfrowej.</w:t>
      </w:r>
    </w:p>
    <w:p w14:paraId="0F429457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Ustanowienie jednolitych zasad oceny, monitorowania i doskonalenia dostępności cyfrowej.</w:t>
      </w:r>
    </w:p>
    <w:p w14:paraId="0841976A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Umożliwienie sporządzania wiarygodnych oświadczeń o dostępności.</w:t>
      </w:r>
    </w:p>
    <w:p w14:paraId="575A6DC3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Wspieranie ciągłego podnoszenia jakości cyfrowych usług publicznych.</w:t>
      </w:r>
    </w:p>
    <w:p w14:paraId="4331AAC8" w14:textId="77777777" w:rsidR="008719CC" w:rsidRDefault="00000000">
      <w:pPr>
        <w:pStyle w:val="Nagwek2"/>
      </w:pPr>
      <w:r>
        <w:t xml:space="preserve">2.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stosowania</w:t>
      </w:r>
      <w:proofErr w:type="spellEnd"/>
    </w:p>
    <w:p w14:paraId="6371856F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 xml:space="preserve">Procedura obejmuje wszystkie strony internetowe oraz aplikacje mobilne prowadzone lub </w:t>
      </w:r>
      <w:proofErr w:type="spellStart"/>
      <w:r w:rsidRPr="00D979F8">
        <w:rPr>
          <w:lang w:val="pl-PL"/>
        </w:rPr>
        <w:t>współprowadzane</w:t>
      </w:r>
      <w:proofErr w:type="spellEnd"/>
      <w:r w:rsidRPr="00D979F8">
        <w:rPr>
          <w:lang w:val="pl-PL"/>
        </w:rPr>
        <w:t xml:space="preserve"> przez podmiot publiczny.</w:t>
      </w:r>
    </w:p>
    <w:p w14:paraId="1518D7CE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Obejmuje systemy i treści publikowane w imieniu podmiotu oraz okresowe i doraźne audyty dostępności cyfrowej.</w:t>
      </w:r>
    </w:p>
    <w:p w14:paraId="751BC390" w14:textId="77777777" w:rsidR="008719CC" w:rsidRDefault="00000000">
      <w:pPr>
        <w:pStyle w:val="Nagwek2"/>
      </w:pPr>
      <w:r>
        <w:t xml:space="preserve">3. </w:t>
      </w:r>
      <w:proofErr w:type="spellStart"/>
      <w:r>
        <w:t>Podstawa</w:t>
      </w:r>
      <w:proofErr w:type="spellEnd"/>
      <w:r>
        <w:t xml:space="preserve"> </w:t>
      </w:r>
      <w:proofErr w:type="spellStart"/>
      <w:r>
        <w:t>prawna</w:t>
      </w:r>
      <w:proofErr w:type="spellEnd"/>
    </w:p>
    <w:p w14:paraId="452A6153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Ustawa z dnia 4 kwietnia 2019 r. o dostępności cyfrowej stron internetowych i aplikacji mobilnych podmiotów publicznych.</w:t>
      </w:r>
    </w:p>
    <w:p w14:paraId="05E48A4B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Dyrektywa (UE) 2016/2102 Parlamentu Europejskiego i Rady.</w:t>
      </w:r>
    </w:p>
    <w:p w14:paraId="2B9A0A42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Rozporządzenie Ministra Cyfryzacji z dnia 12 kwietnia 2019 r.</w:t>
      </w:r>
    </w:p>
    <w:p w14:paraId="4F88437E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Wytyczne WCAG 2.1 na poziomie AA.</w:t>
      </w:r>
    </w:p>
    <w:p w14:paraId="3992177C" w14:textId="77777777" w:rsidR="008719CC" w:rsidRDefault="00000000">
      <w:pPr>
        <w:pStyle w:val="Nagwek2"/>
      </w:pPr>
      <w:r>
        <w:t xml:space="preserve">4. </w:t>
      </w:r>
      <w:proofErr w:type="spellStart"/>
      <w:r>
        <w:t>Definicje</w:t>
      </w:r>
      <w:proofErr w:type="spellEnd"/>
    </w:p>
    <w:p w14:paraId="349BBA4D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Dostępność cyfrowa – cecha serwisu internetowego lub aplikacji umożliwiająca korzystanie z nich wszystkim użytkownikom, w tym osobom z niepełnosprawnościami.</w:t>
      </w:r>
    </w:p>
    <w:p w14:paraId="5546F609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Audyt dostępności – formalny proces oceny zgodności serwisu z wymaganiami WCAG 2.1.</w:t>
      </w:r>
    </w:p>
    <w:p w14:paraId="1E599DD9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Badanie uproszczone – wstępna ocena dostępności wykonywana wewnętrznie.</w:t>
      </w:r>
    </w:p>
    <w:p w14:paraId="6F095ADB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Oświadczenie o dostępności – dokument informujący o stanie dostępności cyfrowej serwisu.</w:t>
      </w:r>
    </w:p>
    <w:p w14:paraId="54EF7945" w14:textId="77777777" w:rsidR="008719CC" w:rsidRDefault="00000000">
      <w:pPr>
        <w:pStyle w:val="Nagwek2"/>
      </w:pPr>
      <w:r>
        <w:t xml:space="preserve">5. </w:t>
      </w:r>
      <w:proofErr w:type="spellStart"/>
      <w:r>
        <w:t>Odpowiedzialność</w:t>
      </w:r>
      <w:proofErr w:type="spellEnd"/>
    </w:p>
    <w:p w14:paraId="020C33B2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Koordynator ds. dostępności</w:t>
      </w:r>
      <w:r w:rsidRPr="00D979F8">
        <w:rPr>
          <w:lang w:val="pl-PL"/>
        </w:rPr>
        <w:t xml:space="preserve"> – nadzór nad realizacją procedury, inicjowanie audytów.</w:t>
      </w:r>
    </w:p>
    <w:p w14:paraId="2927EF29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Administrator</w:t>
      </w:r>
      <w:r w:rsidRPr="00D979F8">
        <w:rPr>
          <w:lang w:val="pl-PL"/>
        </w:rPr>
        <w:t xml:space="preserve"> – wdrażanie rekomendacji z audytów.</w:t>
      </w:r>
    </w:p>
    <w:p w14:paraId="7C0EB3E9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Dział IT</w:t>
      </w:r>
      <w:r w:rsidRPr="00D979F8">
        <w:rPr>
          <w:lang w:val="pl-PL"/>
        </w:rPr>
        <w:t xml:space="preserve"> – zapewnienie technicznych warunków dostępności.</w:t>
      </w:r>
    </w:p>
    <w:p w14:paraId="5B18F571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Komórka merytoryczna</w:t>
      </w:r>
      <w:r w:rsidRPr="00D979F8">
        <w:rPr>
          <w:lang w:val="pl-PL"/>
        </w:rPr>
        <w:t xml:space="preserve"> – zapewnienie dostępności treści.</w:t>
      </w:r>
    </w:p>
    <w:p w14:paraId="678CDD5E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Kierownictwo</w:t>
      </w:r>
      <w:r w:rsidRPr="00D979F8">
        <w:rPr>
          <w:lang w:val="pl-PL"/>
        </w:rPr>
        <w:t xml:space="preserve"> – zatwierdzanie planów badań i raportów.</w:t>
      </w:r>
    </w:p>
    <w:p w14:paraId="22155FE1" w14:textId="77777777" w:rsidR="008719CC" w:rsidRDefault="00000000">
      <w:pPr>
        <w:pStyle w:val="Nagwek2"/>
      </w:pPr>
      <w:r>
        <w:t xml:space="preserve">6. </w:t>
      </w:r>
      <w:proofErr w:type="spellStart"/>
      <w:r>
        <w:t>Etapy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dostępności</w:t>
      </w:r>
      <w:proofErr w:type="spellEnd"/>
    </w:p>
    <w:p w14:paraId="290BF077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Planowanie</w:t>
      </w:r>
      <w:r w:rsidRPr="00D979F8">
        <w:rPr>
          <w:lang w:val="pl-PL"/>
        </w:rPr>
        <w:t xml:space="preserve"> – sporządzenie rocznego planu badań, harmonogramu i metodyki.</w:t>
      </w:r>
    </w:p>
    <w:p w14:paraId="4A14C1C6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Przeprowadzenie badania</w:t>
      </w:r>
      <w:r w:rsidRPr="00D979F8">
        <w:rPr>
          <w:lang w:val="pl-PL"/>
        </w:rPr>
        <w:t xml:space="preserve"> – minimum raz w roku lub po istotnej zmianie serwisu.</w:t>
      </w:r>
    </w:p>
    <w:p w14:paraId="195A99C8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lastRenderedPageBreak/>
        <w:t>Raportowanie</w:t>
      </w:r>
      <w:r w:rsidRPr="00D979F8">
        <w:rPr>
          <w:lang w:val="pl-PL"/>
        </w:rPr>
        <w:t xml:space="preserve"> – przygotowanie raportu z audytu z zaleceniami.</w:t>
      </w:r>
    </w:p>
    <w:p w14:paraId="43CA40C2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Działania korygujące</w:t>
      </w:r>
      <w:r w:rsidRPr="00D979F8">
        <w:rPr>
          <w:lang w:val="pl-PL"/>
        </w:rPr>
        <w:t xml:space="preserve"> – wdrażanie poprawek i ponowna weryfikacja.</w:t>
      </w:r>
    </w:p>
    <w:p w14:paraId="412327AC" w14:textId="7121C3EA" w:rsidR="008719CC" w:rsidRDefault="00000000">
      <w:pPr>
        <w:pStyle w:val="Listapunktowana"/>
        <w:spacing w:after="80"/>
      </w:pPr>
      <w:proofErr w:type="spellStart"/>
      <w:r w:rsidRPr="00D979F8">
        <w:rPr>
          <w:rStyle w:val="Pogrubienie"/>
        </w:rPr>
        <w:t>Publikacja</w:t>
      </w:r>
      <w:proofErr w:type="spellEnd"/>
      <w:r w:rsidRPr="00D979F8">
        <w:rPr>
          <w:rStyle w:val="Pogrubienie"/>
        </w:rPr>
        <w:t xml:space="preserve"> </w:t>
      </w:r>
      <w:proofErr w:type="spellStart"/>
      <w:r w:rsidR="00D979F8">
        <w:rPr>
          <w:rStyle w:val="Pogrubienie"/>
        </w:rPr>
        <w:t>deklaracji</w:t>
      </w:r>
      <w:proofErr w:type="spellEnd"/>
      <w:r>
        <w:t xml:space="preserve"> o </w:t>
      </w:r>
      <w:proofErr w:type="spellStart"/>
      <w:r>
        <w:t>dostępności</w:t>
      </w:r>
      <w:proofErr w:type="spellEnd"/>
      <w:r>
        <w:t>.</w:t>
      </w:r>
    </w:p>
    <w:p w14:paraId="7CB5B91D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rStyle w:val="Pogrubienie"/>
          <w:lang w:val="pl-PL"/>
        </w:rPr>
        <w:t>Przegląd i doskonalenie</w:t>
      </w:r>
      <w:r w:rsidRPr="00D979F8">
        <w:rPr>
          <w:lang w:val="pl-PL"/>
        </w:rPr>
        <w:t xml:space="preserve"> – coroczna aktualizacja metodyki i narzędzi.</w:t>
      </w:r>
    </w:p>
    <w:p w14:paraId="628B8040" w14:textId="77777777" w:rsidR="008719CC" w:rsidRDefault="00000000">
      <w:pPr>
        <w:pStyle w:val="Nagwek2"/>
      </w:pPr>
      <w:r>
        <w:t xml:space="preserve">7.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archiwizacja</w:t>
      </w:r>
      <w:proofErr w:type="spellEnd"/>
    </w:p>
    <w:p w14:paraId="1CC3F4B0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Raporty, plany i oświadczenia przechowuje się przez co najmniej 5 lat.</w:t>
      </w:r>
    </w:p>
    <w:p w14:paraId="248ECAD2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Dokumentacja może być udostępniona organom kontrolnym.</w:t>
      </w:r>
    </w:p>
    <w:p w14:paraId="1507ADB0" w14:textId="77777777" w:rsidR="008719CC" w:rsidRDefault="00000000">
      <w:pPr>
        <w:pStyle w:val="Nagwek2"/>
      </w:pPr>
      <w:r>
        <w:t xml:space="preserve">8. </w:t>
      </w:r>
      <w:proofErr w:type="spellStart"/>
      <w:r>
        <w:t>Załączniki</w:t>
      </w:r>
      <w:proofErr w:type="spellEnd"/>
      <w:r>
        <w:t xml:space="preserve"> (</w:t>
      </w:r>
      <w:proofErr w:type="spellStart"/>
      <w:r>
        <w:t>przykładowe</w:t>
      </w:r>
      <w:proofErr w:type="spellEnd"/>
      <w:r>
        <w:t>)</w:t>
      </w:r>
    </w:p>
    <w:p w14:paraId="629EF2C8" w14:textId="77777777" w:rsidR="008719CC" w:rsidRDefault="00000000">
      <w:pPr>
        <w:pStyle w:val="Listapunktowana"/>
        <w:spacing w:after="80"/>
      </w:pPr>
      <w:proofErr w:type="spellStart"/>
      <w:r>
        <w:t>Wzór</w:t>
      </w:r>
      <w:proofErr w:type="spellEnd"/>
      <w:r>
        <w:t xml:space="preserve"> </w:t>
      </w:r>
      <w:proofErr w:type="spellStart"/>
      <w:r>
        <w:t>rocznego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badań</w:t>
      </w:r>
      <w:proofErr w:type="spellEnd"/>
      <w:r>
        <w:t>.</w:t>
      </w:r>
    </w:p>
    <w:p w14:paraId="06D4C531" w14:textId="77777777" w:rsidR="008719CC" w:rsidRDefault="00000000">
      <w:pPr>
        <w:pStyle w:val="Listapunktowana"/>
        <w:spacing w:after="80"/>
      </w:pPr>
      <w:r>
        <w:t xml:space="preserve">Lista </w:t>
      </w:r>
      <w:proofErr w:type="spellStart"/>
      <w:r>
        <w:t>kontrolna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WCAG 2.1.</w:t>
      </w:r>
    </w:p>
    <w:p w14:paraId="2B9D96CF" w14:textId="77777777" w:rsidR="008719CC" w:rsidRDefault="00000000">
      <w:pPr>
        <w:pStyle w:val="Listapunktowana"/>
        <w:spacing w:after="80"/>
      </w:pPr>
      <w:proofErr w:type="spellStart"/>
      <w:r>
        <w:t>Wzór</w:t>
      </w:r>
      <w:proofErr w:type="spellEnd"/>
      <w:r>
        <w:t xml:space="preserve"> </w:t>
      </w:r>
      <w:proofErr w:type="spellStart"/>
      <w:r>
        <w:t>raportu</w:t>
      </w:r>
      <w:proofErr w:type="spellEnd"/>
      <w:r>
        <w:t xml:space="preserve"> z </w:t>
      </w:r>
      <w:proofErr w:type="spellStart"/>
      <w:r>
        <w:t>audytu</w:t>
      </w:r>
      <w:proofErr w:type="spellEnd"/>
      <w:r>
        <w:t>.</w:t>
      </w:r>
    </w:p>
    <w:p w14:paraId="57AF4AE8" w14:textId="77777777" w:rsidR="008719CC" w:rsidRDefault="00000000">
      <w:pPr>
        <w:pStyle w:val="Listapunktowana"/>
        <w:spacing w:after="80"/>
      </w:pPr>
      <w:proofErr w:type="spellStart"/>
      <w:r>
        <w:t>Rejestr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korygujących</w:t>
      </w:r>
      <w:proofErr w:type="spellEnd"/>
      <w:r>
        <w:t>.</w:t>
      </w:r>
    </w:p>
    <w:p w14:paraId="7AD97999" w14:textId="77777777" w:rsidR="008719CC" w:rsidRDefault="00000000">
      <w:pPr>
        <w:pStyle w:val="Nagwek2"/>
      </w:pPr>
      <w:r>
        <w:t xml:space="preserve">9.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14:paraId="041AE230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Procedura wchodzi w życie z dniem podpisania przez kierownika jednostki.</w:t>
      </w:r>
    </w:p>
    <w:p w14:paraId="16640BCE" w14:textId="77777777" w:rsidR="008719CC" w:rsidRPr="00D979F8" w:rsidRDefault="00000000">
      <w:pPr>
        <w:pStyle w:val="Listapunktowana"/>
        <w:spacing w:after="80"/>
        <w:rPr>
          <w:lang w:val="pl-PL"/>
        </w:rPr>
      </w:pPr>
      <w:r w:rsidRPr="00D979F8">
        <w:rPr>
          <w:lang w:val="pl-PL"/>
        </w:rPr>
        <w:t>Zmiany wymagają zatwierdzenia po opinii Koordynatora ds. dostępności.</w:t>
      </w:r>
    </w:p>
    <w:p w14:paraId="6D14253C" w14:textId="77777777" w:rsidR="00D576DB" w:rsidRDefault="00000000" w:rsidP="00D576DB">
      <w:pPr>
        <w:spacing w:before="600"/>
        <w:rPr>
          <w:lang w:val="pl-PL"/>
        </w:rPr>
      </w:pPr>
      <w:r w:rsidRPr="00D979F8">
        <w:rPr>
          <w:lang w:val="pl-PL"/>
        </w:rPr>
        <w:t>Opracowano zgodnie z ustawą o dostępności cyfrowej (Dz.U. 2019 poz. 848).</w:t>
      </w:r>
    </w:p>
    <w:p w14:paraId="2CE893DB" w14:textId="77777777" w:rsidR="00D576DB" w:rsidRDefault="00000000" w:rsidP="00D576DB">
      <w:pPr>
        <w:spacing w:before="600"/>
        <w:rPr>
          <w:lang w:val="pl-PL"/>
        </w:rPr>
      </w:pPr>
      <w:r w:rsidRPr="00D979F8">
        <w:rPr>
          <w:lang w:val="pl-PL"/>
        </w:rPr>
        <w:t>Data zatwierdzenia:</w:t>
      </w:r>
    </w:p>
    <w:p w14:paraId="2F6BE90C" w14:textId="4FEF5DA6" w:rsidR="008719CC" w:rsidRPr="00D979F8" w:rsidRDefault="00000000" w:rsidP="00D576DB">
      <w:pPr>
        <w:spacing w:before="600"/>
        <w:rPr>
          <w:lang w:val="pl-PL"/>
        </w:rPr>
      </w:pPr>
      <w:r w:rsidRPr="00D979F8">
        <w:rPr>
          <w:lang w:val="pl-PL"/>
        </w:rPr>
        <w:t>Podpis osoby zatwierdzającej:</w:t>
      </w:r>
    </w:p>
    <w:p w14:paraId="59D84534" w14:textId="717CF745" w:rsidR="008719CC" w:rsidRDefault="008719CC"/>
    <w:sectPr w:rsidR="008719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426466">
    <w:abstractNumId w:val="8"/>
  </w:num>
  <w:num w:numId="2" w16cid:durableId="1762991531">
    <w:abstractNumId w:val="6"/>
  </w:num>
  <w:num w:numId="3" w16cid:durableId="926035411">
    <w:abstractNumId w:val="5"/>
  </w:num>
  <w:num w:numId="4" w16cid:durableId="2112773155">
    <w:abstractNumId w:val="4"/>
  </w:num>
  <w:num w:numId="5" w16cid:durableId="251622955">
    <w:abstractNumId w:val="7"/>
  </w:num>
  <w:num w:numId="6" w16cid:durableId="187450657">
    <w:abstractNumId w:val="3"/>
  </w:num>
  <w:num w:numId="7" w16cid:durableId="1997418691">
    <w:abstractNumId w:val="2"/>
  </w:num>
  <w:num w:numId="8" w16cid:durableId="405109973">
    <w:abstractNumId w:val="1"/>
  </w:num>
  <w:num w:numId="9" w16cid:durableId="109578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34A1"/>
    <w:rsid w:val="0029639D"/>
    <w:rsid w:val="00326F90"/>
    <w:rsid w:val="008719CC"/>
    <w:rsid w:val="00AA1D8D"/>
    <w:rsid w:val="00B47730"/>
    <w:rsid w:val="00CB0664"/>
    <w:rsid w:val="00D576DB"/>
    <w:rsid w:val="00D979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EAD1"/>
  <w14:defaultImageDpi w14:val="300"/>
  <w15:docId w15:val="{A29E27A5-75AD-417E-BB97-66BB7250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D576DB"/>
    <w:pPr>
      <w:pBdr>
        <w:bottom w:val="single" w:sz="8" w:space="4" w:color="4F81BD" w:themeColor="accent1"/>
      </w:pBdr>
      <w:spacing w:before="1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57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pszyweb-czcionki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Wajda</cp:lastModifiedBy>
  <cp:revision>3</cp:revision>
  <dcterms:created xsi:type="dcterms:W3CDTF">2013-12-23T23:15:00Z</dcterms:created>
  <dcterms:modified xsi:type="dcterms:W3CDTF">2025-11-06T14:41:00Z</dcterms:modified>
  <cp:category/>
</cp:coreProperties>
</file>