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8F4F" w14:textId="77777777" w:rsidR="00A52EF8" w:rsidRPr="0027465E" w:rsidRDefault="00000000">
      <w:pPr>
        <w:pStyle w:val="Nagwek1"/>
        <w:rPr>
          <w:lang w:val="pl-PL"/>
        </w:rPr>
      </w:pPr>
      <w:r w:rsidRPr="0027465E">
        <w:rPr>
          <w:lang w:val="pl-PL"/>
        </w:rPr>
        <w:t>Procedura przeglądu dostępności cyfrowej przed aktualizacją deklaracji dostępności</w:t>
      </w:r>
    </w:p>
    <w:p w14:paraId="5462A39D" w14:textId="4EFB2880" w:rsidR="00A52EF8" w:rsidRPr="0027465E" w:rsidRDefault="00000000">
      <w:pPr>
        <w:rPr>
          <w:lang w:val="pl-PL"/>
        </w:rPr>
      </w:pPr>
      <w:r w:rsidRPr="0027465E">
        <w:rPr>
          <w:lang w:val="pl-PL"/>
        </w:rPr>
        <w:t>Nazwa jednostki: Urząd Miejski w Nowym Mieście</w:t>
      </w:r>
    </w:p>
    <w:p w14:paraId="672B96AC" w14:textId="77777777" w:rsidR="00A52EF8" w:rsidRPr="0027465E" w:rsidRDefault="00000000">
      <w:pPr>
        <w:pStyle w:val="Nagwek2"/>
        <w:rPr>
          <w:lang w:val="pl-PL"/>
        </w:rPr>
      </w:pPr>
      <w:r w:rsidRPr="0027465E">
        <w:rPr>
          <w:lang w:val="pl-PL"/>
        </w:rPr>
        <w:t>1. Cel procedury</w:t>
      </w:r>
    </w:p>
    <w:p w14:paraId="0E40401F" w14:textId="77777777" w:rsidR="00A52EF8" w:rsidRPr="0027465E" w:rsidRDefault="00000000">
      <w:pPr>
        <w:rPr>
          <w:lang w:val="pl-PL"/>
        </w:rPr>
      </w:pPr>
      <w:r w:rsidRPr="0027465E">
        <w:rPr>
          <w:lang w:val="pl-PL"/>
        </w:rPr>
        <w:t>Celem procedury jest zapewnienie corocznego przeglądu i samooceny dostępności cyfrowej stron internetowych i aplikacji mobilnych jednostki publicznej przed aktualizacją deklaracji dostępności.</w:t>
      </w:r>
    </w:p>
    <w:p w14:paraId="51E88D7F" w14:textId="77777777" w:rsidR="00A52EF8" w:rsidRPr="0027465E" w:rsidRDefault="00000000">
      <w:pPr>
        <w:pStyle w:val="Nagwek2"/>
        <w:rPr>
          <w:lang w:val="pl-PL"/>
        </w:rPr>
      </w:pPr>
      <w:r w:rsidRPr="0027465E">
        <w:rPr>
          <w:lang w:val="pl-PL"/>
        </w:rPr>
        <w:t>2. Zakres stosowania</w:t>
      </w:r>
    </w:p>
    <w:p w14:paraId="61892FBB" w14:textId="77777777" w:rsidR="00A52EF8" w:rsidRPr="0027465E" w:rsidRDefault="00000000">
      <w:pPr>
        <w:rPr>
          <w:lang w:val="pl-PL"/>
        </w:rPr>
      </w:pPr>
      <w:r w:rsidRPr="0027465E">
        <w:rPr>
          <w:lang w:val="pl-PL"/>
        </w:rPr>
        <w:t>Procedura obejmuje wszystkie strony internetowe i aplikacje mobilne jednostki publicznej.</w:t>
      </w:r>
    </w:p>
    <w:p w14:paraId="66F8F6AB" w14:textId="521BD862" w:rsidR="00A52EF8" w:rsidRPr="0027465E" w:rsidRDefault="00000000">
      <w:pPr>
        <w:pStyle w:val="Nagwek2"/>
        <w:rPr>
          <w:lang w:val="pl-PL"/>
        </w:rPr>
      </w:pPr>
      <w:r w:rsidRPr="0027465E">
        <w:rPr>
          <w:lang w:val="pl-PL"/>
        </w:rPr>
        <w:t>3. Podstawa prawna</w:t>
      </w:r>
      <w:r w:rsidR="00C06AF2">
        <w:rPr>
          <w:lang w:val="pl-PL"/>
        </w:rPr>
        <w:t xml:space="preserve"> i wymagania</w:t>
      </w:r>
    </w:p>
    <w:p w14:paraId="56E4F6FD" w14:textId="26708624" w:rsidR="0027465E" w:rsidRPr="0027465E" w:rsidRDefault="00000000" w:rsidP="0027465E">
      <w:pPr>
        <w:pStyle w:val="Akapitzlist"/>
        <w:numPr>
          <w:ilvl w:val="0"/>
          <w:numId w:val="10"/>
        </w:numPr>
        <w:rPr>
          <w:lang w:val="pl-PL"/>
        </w:rPr>
      </w:pPr>
      <w:r w:rsidRPr="0027465E">
        <w:rPr>
          <w:lang w:val="pl-PL"/>
        </w:rPr>
        <w:t>Ustawa z dnia 4 kwietnia 2019 r. o dostępności cyfrowej stron internetowych i aplikacji mobilnych podmiotów publicznych.</w:t>
      </w:r>
    </w:p>
    <w:p w14:paraId="1ADDEF88" w14:textId="5D15D58A" w:rsidR="0027465E" w:rsidRPr="0027465E" w:rsidRDefault="00000000" w:rsidP="0027465E">
      <w:pPr>
        <w:pStyle w:val="Akapitzlist"/>
        <w:numPr>
          <w:ilvl w:val="0"/>
          <w:numId w:val="10"/>
        </w:numPr>
        <w:rPr>
          <w:lang w:val="pl-PL"/>
        </w:rPr>
      </w:pPr>
      <w:r w:rsidRPr="0027465E">
        <w:rPr>
          <w:lang w:val="pl-PL"/>
        </w:rPr>
        <w:t>Dyrektywa (UE) 2016/2102.</w:t>
      </w:r>
    </w:p>
    <w:p w14:paraId="43220214" w14:textId="68599542" w:rsidR="00C06AF2" w:rsidRDefault="00C06AF2" w:rsidP="0027465E">
      <w:pPr>
        <w:pStyle w:val="Akapitzlist"/>
        <w:numPr>
          <w:ilvl w:val="0"/>
          <w:numId w:val="10"/>
        </w:numPr>
        <w:rPr>
          <w:lang w:val="pl-PL"/>
        </w:rPr>
      </w:pPr>
      <w:r>
        <w:rPr>
          <w:lang w:val="pl-PL"/>
        </w:rPr>
        <w:t>PN ETSI EN 301 549</w:t>
      </w:r>
    </w:p>
    <w:p w14:paraId="781BE0E0" w14:textId="6A907694" w:rsidR="00A52EF8" w:rsidRDefault="00000000" w:rsidP="0027465E">
      <w:pPr>
        <w:pStyle w:val="Akapitzlist"/>
        <w:numPr>
          <w:ilvl w:val="0"/>
          <w:numId w:val="10"/>
        </w:numPr>
        <w:rPr>
          <w:lang w:val="pl-PL"/>
        </w:rPr>
      </w:pPr>
      <w:r w:rsidRPr="0027465E">
        <w:rPr>
          <w:lang w:val="pl-PL"/>
        </w:rPr>
        <w:t>Standard WCAG 2.1 poziom AA.</w:t>
      </w:r>
    </w:p>
    <w:p w14:paraId="392AD954" w14:textId="6B7E625D" w:rsidR="00C06AF2" w:rsidRPr="0027465E" w:rsidRDefault="00C06AF2" w:rsidP="0027465E">
      <w:pPr>
        <w:pStyle w:val="Akapitzlist"/>
        <w:numPr>
          <w:ilvl w:val="0"/>
          <w:numId w:val="10"/>
        </w:numPr>
        <w:rPr>
          <w:lang w:val="pl-PL"/>
        </w:rPr>
      </w:pPr>
      <w:r>
        <w:rPr>
          <w:lang w:val="pl-PL"/>
        </w:rPr>
        <w:t>Wymagania na poziomie KS AAA: KS 1.4.8, KS 2.4.10, KS 3.1.3, KS 3.1.4</w:t>
      </w:r>
    </w:p>
    <w:p w14:paraId="608EDAA6" w14:textId="77777777" w:rsidR="00A52EF8" w:rsidRPr="0027465E" w:rsidRDefault="00000000">
      <w:pPr>
        <w:pStyle w:val="Nagwek2"/>
        <w:rPr>
          <w:lang w:val="pl-PL"/>
        </w:rPr>
      </w:pPr>
      <w:r w:rsidRPr="0027465E">
        <w:rPr>
          <w:lang w:val="pl-PL"/>
        </w:rPr>
        <w:t>4. Definicje</w:t>
      </w:r>
    </w:p>
    <w:p w14:paraId="54FED6E2" w14:textId="77777777" w:rsidR="00C06AF2" w:rsidRPr="00C06AF2" w:rsidRDefault="00000000" w:rsidP="00C06AF2">
      <w:pPr>
        <w:pStyle w:val="Akapitzlist"/>
        <w:numPr>
          <w:ilvl w:val="0"/>
          <w:numId w:val="11"/>
        </w:numPr>
        <w:rPr>
          <w:lang w:val="pl-PL"/>
        </w:rPr>
      </w:pPr>
      <w:r w:rsidRPr="00C06AF2">
        <w:rPr>
          <w:rStyle w:val="Pogrubienie"/>
          <w:lang w:val="pl-PL"/>
        </w:rPr>
        <w:t>Przegląd dostępności</w:t>
      </w:r>
      <w:r w:rsidRPr="00C06AF2">
        <w:rPr>
          <w:lang w:val="pl-PL"/>
        </w:rPr>
        <w:t xml:space="preserve"> – wewnętrzne badanie stanu dostępności cyfrowej.</w:t>
      </w:r>
    </w:p>
    <w:p w14:paraId="3B8B10E9" w14:textId="4F868A2C" w:rsidR="00C06AF2" w:rsidRPr="00C06AF2" w:rsidRDefault="00000000" w:rsidP="00C06AF2">
      <w:pPr>
        <w:pStyle w:val="Akapitzlist"/>
        <w:numPr>
          <w:ilvl w:val="0"/>
          <w:numId w:val="11"/>
        </w:numPr>
        <w:rPr>
          <w:lang w:val="pl-PL"/>
        </w:rPr>
      </w:pPr>
      <w:r w:rsidRPr="00C06AF2">
        <w:rPr>
          <w:rStyle w:val="Pogrubienie"/>
          <w:lang w:val="pl-PL"/>
        </w:rPr>
        <w:t>Samoocena</w:t>
      </w:r>
      <w:r w:rsidRPr="00C06AF2">
        <w:rPr>
          <w:lang w:val="pl-PL"/>
        </w:rPr>
        <w:t xml:space="preserve"> – dokument potwierdzający wyniki przeglądu.</w:t>
      </w:r>
    </w:p>
    <w:p w14:paraId="6366F416" w14:textId="0D8CC294" w:rsidR="00A52EF8" w:rsidRPr="00C06AF2" w:rsidRDefault="00000000" w:rsidP="00C06AF2">
      <w:pPr>
        <w:pStyle w:val="Akapitzlist"/>
        <w:numPr>
          <w:ilvl w:val="0"/>
          <w:numId w:val="11"/>
        </w:numPr>
        <w:rPr>
          <w:lang w:val="pl-PL"/>
        </w:rPr>
      </w:pPr>
      <w:r w:rsidRPr="00C06AF2">
        <w:rPr>
          <w:rStyle w:val="Pogrubienie"/>
          <w:lang w:val="pl-PL"/>
        </w:rPr>
        <w:t>EARL</w:t>
      </w:r>
      <w:r w:rsidRPr="00C06AF2">
        <w:rPr>
          <w:lang w:val="pl-PL"/>
        </w:rPr>
        <w:t xml:space="preserve"> – format JSON-LD do reprezentacji wyników oceny.</w:t>
      </w:r>
    </w:p>
    <w:p w14:paraId="7FAECB67" w14:textId="77777777" w:rsidR="00A52EF8" w:rsidRDefault="00000000">
      <w:pPr>
        <w:pStyle w:val="Nagwek2"/>
      </w:pPr>
      <w:r>
        <w:t>5. Odpowiedzialność</w:t>
      </w:r>
    </w:p>
    <w:tbl>
      <w:tblPr>
        <w:tblW w:w="0" w:type="auto"/>
        <w:tblLook w:val="0420" w:firstRow="1" w:lastRow="0" w:firstColumn="0" w:lastColumn="0" w:noHBand="0" w:noVBand="1"/>
      </w:tblPr>
      <w:tblGrid>
        <w:gridCol w:w="4320"/>
        <w:gridCol w:w="4320"/>
      </w:tblGrid>
      <w:tr w:rsidR="00A52EF8" w14:paraId="7E1A08F6" w14:textId="77777777" w:rsidTr="008F7284">
        <w:trPr>
          <w:cantSplit/>
          <w:tblHeader/>
        </w:trPr>
        <w:tc>
          <w:tcPr>
            <w:tcW w:w="4320" w:type="dxa"/>
          </w:tcPr>
          <w:p w14:paraId="6FBE1F55" w14:textId="77777777" w:rsidR="00A52EF8" w:rsidRDefault="00000000">
            <w:r>
              <w:t>Rola</w:t>
            </w:r>
          </w:p>
        </w:tc>
        <w:tc>
          <w:tcPr>
            <w:tcW w:w="4320" w:type="dxa"/>
          </w:tcPr>
          <w:p w14:paraId="6BC4F5E3" w14:textId="77777777" w:rsidR="00A52EF8" w:rsidRDefault="00000000">
            <w:r>
              <w:t>Zakres odpowiedzialności</w:t>
            </w:r>
          </w:p>
        </w:tc>
      </w:tr>
      <w:tr w:rsidR="00A52EF8" w:rsidRPr="0027465E" w14:paraId="5075029F" w14:textId="77777777" w:rsidTr="008F7284">
        <w:trPr>
          <w:cantSplit/>
          <w:tblHeader/>
        </w:trPr>
        <w:tc>
          <w:tcPr>
            <w:tcW w:w="4320" w:type="dxa"/>
          </w:tcPr>
          <w:p w14:paraId="47D6BD2D" w14:textId="77777777" w:rsidR="00A52EF8" w:rsidRDefault="00000000">
            <w:r>
              <w:t>Koordynator ds. dostępności</w:t>
            </w:r>
          </w:p>
        </w:tc>
        <w:tc>
          <w:tcPr>
            <w:tcW w:w="4320" w:type="dxa"/>
          </w:tcPr>
          <w:p w14:paraId="14245246" w14:textId="77777777" w:rsidR="00A52EF8" w:rsidRPr="0027465E" w:rsidRDefault="00000000">
            <w:pPr>
              <w:rPr>
                <w:lang w:val="pl-PL"/>
              </w:rPr>
            </w:pPr>
            <w:r w:rsidRPr="0027465E">
              <w:rPr>
                <w:lang w:val="pl-PL"/>
              </w:rPr>
              <w:t>Planowanie, nadzór i publikacja wyników samooceny.</w:t>
            </w:r>
          </w:p>
        </w:tc>
      </w:tr>
      <w:tr w:rsidR="00A52EF8" w:rsidRPr="0027465E" w14:paraId="4D67A704" w14:textId="77777777" w:rsidTr="008F7284">
        <w:trPr>
          <w:cantSplit/>
          <w:tblHeader/>
        </w:trPr>
        <w:tc>
          <w:tcPr>
            <w:tcW w:w="4320" w:type="dxa"/>
          </w:tcPr>
          <w:p w14:paraId="33F27AA2" w14:textId="77777777" w:rsidR="00A52EF8" w:rsidRDefault="00000000">
            <w:r>
              <w:t>Administrator IT</w:t>
            </w:r>
          </w:p>
        </w:tc>
        <w:tc>
          <w:tcPr>
            <w:tcW w:w="4320" w:type="dxa"/>
          </w:tcPr>
          <w:p w14:paraId="78576FC4" w14:textId="77777777" w:rsidR="00A52EF8" w:rsidRPr="0027465E" w:rsidRDefault="00000000">
            <w:pPr>
              <w:rPr>
                <w:lang w:val="pl-PL"/>
              </w:rPr>
            </w:pPr>
            <w:r w:rsidRPr="0027465E">
              <w:rPr>
                <w:lang w:val="pl-PL"/>
              </w:rPr>
              <w:t>Testy automatyczne, analiza błędów technicznych.</w:t>
            </w:r>
          </w:p>
        </w:tc>
      </w:tr>
      <w:tr w:rsidR="00A52EF8" w:rsidRPr="0027465E" w14:paraId="4143C2B4" w14:textId="77777777" w:rsidTr="008F7284">
        <w:trPr>
          <w:cantSplit/>
          <w:tblHeader/>
        </w:trPr>
        <w:tc>
          <w:tcPr>
            <w:tcW w:w="4320" w:type="dxa"/>
          </w:tcPr>
          <w:p w14:paraId="1C7F2530" w14:textId="77777777" w:rsidR="00A52EF8" w:rsidRDefault="00000000">
            <w:proofErr w:type="spellStart"/>
            <w:r>
              <w:t>Redaktorzy</w:t>
            </w:r>
            <w:proofErr w:type="spellEnd"/>
            <w:r>
              <w:t xml:space="preserve"> </w:t>
            </w:r>
            <w:proofErr w:type="spellStart"/>
            <w:r>
              <w:t>treści</w:t>
            </w:r>
            <w:proofErr w:type="spellEnd"/>
          </w:p>
        </w:tc>
        <w:tc>
          <w:tcPr>
            <w:tcW w:w="4320" w:type="dxa"/>
          </w:tcPr>
          <w:p w14:paraId="54C26905" w14:textId="77777777" w:rsidR="00A52EF8" w:rsidRPr="0027465E" w:rsidRDefault="00000000">
            <w:pPr>
              <w:rPr>
                <w:lang w:val="pl-PL"/>
              </w:rPr>
            </w:pPr>
            <w:r w:rsidRPr="0027465E">
              <w:rPr>
                <w:lang w:val="pl-PL"/>
              </w:rPr>
              <w:t>Samokontrola bieżąca z użyciem narzędzi (Sa11y, WAVE).</w:t>
            </w:r>
          </w:p>
        </w:tc>
      </w:tr>
      <w:tr w:rsidR="00A52EF8" w14:paraId="40041FD5" w14:textId="77777777" w:rsidTr="008F7284">
        <w:trPr>
          <w:cantSplit/>
          <w:tblHeader/>
        </w:trPr>
        <w:tc>
          <w:tcPr>
            <w:tcW w:w="4320" w:type="dxa"/>
          </w:tcPr>
          <w:p w14:paraId="5F913DB8" w14:textId="77777777" w:rsidR="00A52EF8" w:rsidRDefault="00000000">
            <w:proofErr w:type="spellStart"/>
            <w:r>
              <w:t>Audytor</w:t>
            </w:r>
            <w:proofErr w:type="spellEnd"/>
            <w:r>
              <w:t xml:space="preserve"> </w:t>
            </w:r>
            <w:proofErr w:type="spellStart"/>
            <w:r>
              <w:t>zewnętrzny</w:t>
            </w:r>
            <w:proofErr w:type="spellEnd"/>
          </w:p>
        </w:tc>
        <w:tc>
          <w:tcPr>
            <w:tcW w:w="4320" w:type="dxa"/>
          </w:tcPr>
          <w:p w14:paraId="61F99CE0" w14:textId="77777777" w:rsidR="00A52EF8" w:rsidRDefault="00000000">
            <w:r>
              <w:t>Weryfikacja wyników samooceny (opcjonalnie).</w:t>
            </w:r>
          </w:p>
        </w:tc>
      </w:tr>
    </w:tbl>
    <w:p w14:paraId="7945FBC7" w14:textId="77777777" w:rsidR="00A52EF8" w:rsidRDefault="00000000">
      <w:pPr>
        <w:pStyle w:val="Nagwek2"/>
      </w:pPr>
      <w:r>
        <w:lastRenderedPageBreak/>
        <w:t>6. Opis procesu</w:t>
      </w:r>
    </w:p>
    <w:p w14:paraId="0CD8F37D" w14:textId="77777777" w:rsidR="00A52EF8" w:rsidRPr="0027465E" w:rsidRDefault="00000000">
      <w:pPr>
        <w:rPr>
          <w:lang w:val="pl-PL"/>
        </w:rPr>
      </w:pPr>
      <w:r w:rsidRPr="0027465E">
        <w:rPr>
          <w:lang w:val="pl-PL"/>
        </w:rPr>
        <w:t>Proces obejmuje planowanie, wykonanie testów automatycznych i ręcznych, opracowanie raportu z samooceny, publikację wyników w BIP oraz archiwizację dokumentacji.</w:t>
      </w:r>
    </w:p>
    <w:p w14:paraId="7A01AEFD" w14:textId="77777777" w:rsidR="00A52EF8" w:rsidRPr="0027465E" w:rsidRDefault="00000000">
      <w:pPr>
        <w:pStyle w:val="Nagwek2"/>
        <w:rPr>
          <w:lang w:val="pl-PL"/>
        </w:rPr>
      </w:pPr>
      <w:r w:rsidRPr="0027465E">
        <w:rPr>
          <w:lang w:val="pl-PL"/>
        </w:rPr>
        <w:t>7. Wskaźniki efektywności (KPI)</w:t>
      </w:r>
    </w:p>
    <w:p w14:paraId="4FED11BB" w14:textId="45D6AB3A" w:rsidR="00C06AF2" w:rsidRPr="00C06AF2" w:rsidRDefault="00000000" w:rsidP="00C06AF2">
      <w:pPr>
        <w:pStyle w:val="Akapitzlist"/>
        <w:numPr>
          <w:ilvl w:val="0"/>
          <w:numId w:val="12"/>
        </w:numPr>
      </w:pPr>
      <w:r w:rsidRPr="00C06AF2">
        <w:rPr>
          <w:lang w:val="pl-PL"/>
        </w:rPr>
        <w:t>Liczba błędów krytycznych WCAG 2.1: ≤ 5</w:t>
      </w:r>
    </w:p>
    <w:p w14:paraId="7C8B7209" w14:textId="363A9CD1" w:rsidR="00C06AF2" w:rsidRPr="00C06AF2" w:rsidRDefault="00000000" w:rsidP="00C06AF2">
      <w:pPr>
        <w:pStyle w:val="Akapitzlist"/>
        <w:numPr>
          <w:ilvl w:val="0"/>
          <w:numId w:val="12"/>
        </w:numPr>
      </w:pPr>
      <w:r w:rsidRPr="00C06AF2">
        <w:rPr>
          <w:lang w:val="pl-PL"/>
        </w:rPr>
        <w:t>Poziom zgodności wg samooceny: ≥ 85%</w:t>
      </w:r>
    </w:p>
    <w:p w14:paraId="2DA32309" w14:textId="5AA21ECE" w:rsidR="00A52EF8" w:rsidRPr="00C06AF2" w:rsidRDefault="00000000" w:rsidP="00C06AF2">
      <w:pPr>
        <w:pStyle w:val="Akapitzlist"/>
        <w:numPr>
          <w:ilvl w:val="0"/>
          <w:numId w:val="12"/>
        </w:numPr>
        <w:rPr>
          <w:lang w:val="pl-PL"/>
        </w:rPr>
      </w:pPr>
      <w:r w:rsidRPr="00C06AF2">
        <w:rPr>
          <w:lang w:val="pl-PL"/>
        </w:rPr>
        <w:t>Aktualizacja deklaracji do końca marca każdego roku.</w:t>
      </w:r>
    </w:p>
    <w:p w14:paraId="6683E550" w14:textId="77777777" w:rsidR="00A52EF8" w:rsidRPr="0027465E" w:rsidRDefault="00000000">
      <w:pPr>
        <w:pStyle w:val="Nagwek2"/>
        <w:rPr>
          <w:lang w:val="pl-PL"/>
        </w:rPr>
      </w:pPr>
      <w:r w:rsidRPr="0027465E">
        <w:rPr>
          <w:lang w:val="pl-PL"/>
        </w:rPr>
        <w:t>8. Dokumentacja i dowody</w:t>
      </w:r>
    </w:p>
    <w:p w14:paraId="586D020F" w14:textId="4FF6340B" w:rsidR="00C06AF2" w:rsidRPr="00C06AF2" w:rsidRDefault="00000000" w:rsidP="00C06AF2">
      <w:pPr>
        <w:pStyle w:val="Akapitzlist"/>
        <w:numPr>
          <w:ilvl w:val="0"/>
          <w:numId w:val="13"/>
        </w:numPr>
      </w:pPr>
      <w:r w:rsidRPr="00C06AF2">
        <w:rPr>
          <w:lang w:val="pl-PL"/>
        </w:rPr>
        <w:t>Raport z samooceny (HTML)</w:t>
      </w:r>
    </w:p>
    <w:p w14:paraId="62C3FCAB" w14:textId="50FC03C8" w:rsidR="00C06AF2" w:rsidRPr="00C06AF2" w:rsidRDefault="00000000" w:rsidP="00C06AF2">
      <w:pPr>
        <w:pStyle w:val="Akapitzlist"/>
        <w:numPr>
          <w:ilvl w:val="0"/>
          <w:numId w:val="13"/>
        </w:numPr>
      </w:pPr>
      <w:r w:rsidRPr="00C06AF2">
        <w:rPr>
          <w:lang w:val="pl-PL"/>
        </w:rPr>
        <w:t>Dane EARL (JSON-LD)</w:t>
      </w:r>
    </w:p>
    <w:p w14:paraId="51667F6A" w14:textId="5EB26E3B" w:rsidR="00C06AF2" w:rsidRPr="00C06AF2" w:rsidRDefault="00000000" w:rsidP="00C06AF2">
      <w:pPr>
        <w:pStyle w:val="Akapitzlist"/>
        <w:numPr>
          <w:ilvl w:val="0"/>
          <w:numId w:val="13"/>
        </w:numPr>
      </w:pPr>
      <w:r w:rsidRPr="00C06AF2">
        <w:rPr>
          <w:lang w:val="pl-PL"/>
        </w:rPr>
        <w:t>Kopia raportu PDF</w:t>
      </w:r>
    </w:p>
    <w:p w14:paraId="1C5E9571" w14:textId="55A8DADF" w:rsidR="00C06AF2" w:rsidRPr="00C06AF2" w:rsidRDefault="00000000" w:rsidP="00C06AF2">
      <w:pPr>
        <w:pStyle w:val="Akapitzlist"/>
        <w:numPr>
          <w:ilvl w:val="0"/>
          <w:numId w:val="13"/>
        </w:numPr>
      </w:pPr>
      <w:r w:rsidRPr="00C06AF2">
        <w:rPr>
          <w:lang w:val="pl-PL"/>
        </w:rPr>
        <w:t>Protokół przeglądu</w:t>
      </w:r>
    </w:p>
    <w:p w14:paraId="6D010E1E" w14:textId="02BA0F05" w:rsidR="00A52EF8" w:rsidRPr="00C06AF2" w:rsidRDefault="00000000" w:rsidP="00C06AF2">
      <w:pPr>
        <w:pStyle w:val="Akapitzlist"/>
        <w:numPr>
          <w:ilvl w:val="0"/>
          <w:numId w:val="13"/>
        </w:numPr>
        <w:rPr>
          <w:lang w:val="pl-PL"/>
        </w:rPr>
      </w:pPr>
      <w:r w:rsidRPr="00C06AF2">
        <w:rPr>
          <w:lang w:val="pl-PL"/>
        </w:rPr>
        <w:t>Archiwalne raporty.</w:t>
      </w:r>
    </w:p>
    <w:p w14:paraId="5C878FDB" w14:textId="77777777" w:rsidR="00A52EF8" w:rsidRPr="0027465E" w:rsidRDefault="00000000">
      <w:pPr>
        <w:pStyle w:val="Nagwek2"/>
        <w:rPr>
          <w:lang w:val="pl-PL"/>
        </w:rPr>
      </w:pPr>
      <w:r w:rsidRPr="0027465E">
        <w:rPr>
          <w:lang w:val="pl-PL"/>
        </w:rPr>
        <w:t>9. Załączniki</w:t>
      </w:r>
    </w:p>
    <w:p w14:paraId="39BA7CCB" w14:textId="07556E9C" w:rsidR="00C06AF2" w:rsidRPr="008F7284" w:rsidRDefault="00000000" w:rsidP="008F7284">
      <w:pPr>
        <w:pStyle w:val="Akapitzlist"/>
        <w:numPr>
          <w:ilvl w:val="0"/>
          <w:numId w:val="16"/>
        </w:numPr>
        <w:rPr>
          <w:lang w:val="pl-PL"/>
        </w:rPr>
      </w:pPr>
      <w:r w:rsidRPr="008F7284">
        <w:rPr>
          <w:lang w:val="pl-PL"/>
        </w:rPr>
        <w:t>Szablon raportu samooceny (HTML + EARL)</w:t>
      </w:r>
    </w:p>
    <w:p w14:paraId="5E796B27" w14:textId="4036D6E4" w:rsidR="00C06AF2" w:rsidRPr="008F7284" w:rsidRDefault="00000000" w:rsidP="008F7284">
      <w:pPr>
        <w:pStyle w:val="Akapitzlist"/>
        <w:numPr>
          <w:ilvl w:val="0"/>
          <w:numId w:val="16"/>
        </w:numPr>
        <w:rPr>
          <w:lang w:val="pl-PL"/>
        </w:rPr>
      </w:pPr>
      <w:r w:rsidRPr="008F7284">
        <w:rPr>
          <w:lang w:val="pl-PL"/>
        </w:rPr>
        <w:t>Instrukcja publikacji raportu w BIP</w:t>
      </w:r>
    </w:p>
    <w:p w14:paraId="738D73FC" w14:textId="545A709C" w:rsidR="00C06AF2" w:rsidRPr="008F7284" w:rsidRDefault="00000000" w:rsidP="008F7284">
      <w:pPr>
        <w:pStyle w:val="Akapitzlist"/>
        <w:numPr>
          <w:ilvl w:val="0"/>
          <w:numId w:val="16"/>
        </w:numPr>
        <w:rPr>
          <w:lang w:val="pl-PL"/>
        </w:rPr>
      </w:pPr>
      <w:r w:rsidRPr="008F7284">
        <w:rPr>
          <w:lang w:val="pl-PL"/>
        </w:rPr>
        <w:t>Lista kontrolna przeglądu</w:t>
      </w:r>
    </w:p>
    <w:p w14:paraId="29CD64F8" w14:textId="336E45CA" w:rsidR="00C06AF2" w:rsidRPr="008F7284" w:rsidRDefault="00000000" w:rsidP="008F7284">
      <w:pPr>
        <w:pStyle w:val="Akapitzlist"/>
        <w:numPr>
          <w:ilvl w:val="0"/>
          <w:numId w:val="16"/>
        </w:numPr>
        <w:rPr>
          <w:lang w:val="pl-PL"/>
        </w:rPr>
      </w:pPr>
      <w:r w:rsidRPr="008F7284">
        <w:rPr>
          <w:lang w:val="pl-PL"/>
        </w:rPr>
        <w:t>Wzór protokołu z przeglądu</w:t>
      </w:r>
    </w:p>
    <w:p w14:paraId="57A6A13E" w14:textId="1A07A20D" w:rsidR="00A52EF8" w:rsidRPr="008F7284" w:rsidRDefault="00000000" w:rsidP="008F7284">
      <w:pPr>
        <w:pStyle w:val="Akapitzlist"/>
        <w:numPr>
          <w:ilvl w:val="0"/>
          <w:numId w:val="16"/>
        </w:numPr>
        <w:rPr>
          <w:lang w:val="pl-PL"/>
        </w:rPr>
      </w:pPr>
      <w:r w:rsidRPr="008F7284">
        <w:rPr>
          <w:lang w:val="pl-PL"/>
        </w:rPr>
        <w:t>Wskaźniki efektywności i monitoring KPI</w:t>
      </w:r>
    </w:p>
    <w:p w14:paraId="2E84BBD0" w14:textId="77777777" w:rsidR="00A52EF8" w:rsidRPr="0027465E" w:rsidRDefault="00000000">
      <w:pPr>
        <w:pStyle w:val="Nagwek2"/>
        <w:rPr>
          <w:lang w:val="pl-PL"/>
        </w:rPr>
      </w:pPr>
      <w:r w:rsidRPr="0027465E">
        <w:rPr>
          <w:lang w:val="pl-PL"/>
        </w:rPr>
        <w:t>10. Zatwierdzenie</w:t>
      </w:r>
    </w:p>
    <w:p w14:paraId="5AA1E9B2" w14:textId="77777777" w:rsidR="0027465E" w:rsidRDefault="00000000" w:rsidP="0027465E">
      <w:pPr>
        <w:spacing w:before="240"/>
        <w:rPr>
          <w:lang w:val="pl-PL"/>
        </w:rPr>
      </w:pPr>
      <w:r w:rsidRPr="0027465E">
        <w:rPr>
          <w:lang w:val="pl-PL"/>
        </w:rPr>
        <w:t>Nazwa jednostki: Urząd Miejski w Nowym Mieście</w:t>
      </w:r>
    </w:p>
    <w:p w14:paraId="295CBDBA" w14:textId="77777777" w:rsidR="0027465E" w:rsidRDefault="00000000" w:rsidP="0027465E">
      <w:pPr>
        <w:pStyle w:val="Dane"/>
      </w:pPr>
      <w:r w:rsidRPr="0027465E">
        <w:t xml:space="preserve">Zatwierdził: </w:t>
      </w:r>
      <w:r w:rsidR="0027465E">
        <w:tab/>
      </w:r>
    </w:p>
    <w:p w14:paraId="43623BC5" w14:textId="77777777" w:rsidR="0027465E" w:rsidRDefault="00000000" w:rsidP="0027465E">
      <w:pPr>
        <w:pStyle w:val="Dane"/>
      </w:pPr>
      <w:r w:rsidRPr="0027465E">
        <w:t>Stanowisko:</w:t>
      </w:r>
      <w:r w:rsidR="0027465E">
        <w:tab/>
      </w:r>
    </w:p>
    <w:p w14:paraId="45C22492" w14:textId="01B71338" w:rsidR="0027465E" w:rsidRDefault="00000000" w:rsidP="0027465E">
      <w:pPr>
        <w:pStyle w:val="Dane"/>
      </w:pPr>
      <w:r w:rsidRPr="0027465E">
        <w:t>Data zatwierdzenia:</w:t>
      </w:r>
      <w:r w:rsidR="0027465E">
        <w:tab/>
      </w:r>
    </w:p>
    <w:p w14:paraId="3525F0CE" w14:textId="6768EC89" w:rsidR="00A52EF8" w:rsidRPr="0027465E" w:rsidRDefault="00000000" w:rsidP="0027465E">
      <w:pPr>
        <w:pStyle w:val="Dane"/>
      </w:pPr>
      <w:r w:rsidRPr="0027465E">
        <w:t xml:space="preserve">Podpis: </w:t>
      </w:r>
      <w:r w:rsidR="0027465E">
        <w:tab/>
      </w:r>
    </w:p>
    <w:sectPr w:rsidR="00A52EF8" w:rsidRPr="0027465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2930" w14:textId="77777777" w:rsidR="00F44160" w:rsidRDefault="00F44160">
      <w:pPr>
        <w:spacing w:after="0" w:line="240" w:lineRule="auto"/>
      </w:pPr>
      <w:r>
        <w:separator/>
      </w:r>
    </w:p>
  </w:endnote>
  <w:endnote w:type="continuationSeparator" w:id="0">
    <w:p w14:paraId="7AE17087" w14:textId="77777777" w:rsidR="00F44160" w:rsidRDefault="00F4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D9C5" w14:textId="77777777" w:rsidR="00A52EF8" w:rsidRDefault="00000000">
    <w:pPr>
      <w:pStyle w:val="Stopka"/>
      <w:jc w:val="right"/>
    </w:pPr>
    <w:r>
      <w:rPr>
        <w:color w:val="646464"/>
        <w:sz w:val="20"/>
      </w:rPr>
      <w:t>Wersja 1.0 /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6975" w14:textId="77777777" w:rsidR="00F44160" w:rsidRDefault="00F44160">
      <w:pPr>
        <w:spacing w:after="0" w:line="240" w:lineRule="auto"/>
      </w:pPr>
      <w:r>
        <w:separator/>
      </w:r>
    </w:p>
  </w:footnote>
  <w:footnote w:type="continuationSeparator" w:id="0">
    <w:p w14:paraId="7E564599" w14:textId="77777777" w:rsidR="00F44160" w:rsidRDefault="00F4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4C87" w14:textId="77777777" w:rsidR="00A52EF8" w:rsidRPr="0027465E" w:rsidRDefault="00000000">
    <w:pPr>
      <w:pStyle w:val="Nagwek"/>
      <w:jc w:val="center"/>
      <w:rPr>
        <w:lang w:val="pl-PL"/>
      </w:rPr>
    </w:pPr>
    <w:r w:rsidRPr="0027465E">
      <w:rPr>
        <w:color w:val="0B5CAD"/>
        <w:sz w:val="20"/>
        <w:lang w:val="pl-PL"/>
      </w:rPr>
      <w:t>Urząd Miejski w Nowym Mieście – Procedura przeglądu dostępności cyfrowej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521651"/>
    <w:multiLevelType w:val="hybridMultilevel"/>
    <w:tmpl w:val="FF4C9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643AE"/>
    <w:multiLevelType w:val="multilevel"/>
    <w:tmpl w:val="95EC08D4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bCs w:val="0"/>
        <w:i w:val="0"/>
        <w:iCs w:val="0"/>
        <w:color w:val="365F91" w:themeColor="accent1" w:themeShade="BF"/>
        <w:w w:val="100"/>
        <w:sz w:val="27"/>
      </w:rPr>
    </w:lvl>
    <w:lvl w:ilvl="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31"/>
        </w:tabs>
        <w:ind w:left="1428" w:hanging="357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788"/>
        </w:tabs>
        <w:ind w:left="1785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502"/>
        </w:tabs>
        <w:ind w:left="2499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859"/>
        </w:tabs>
        <w:ind w:left="2856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D2415"/>
    <w:multiLevelType w:val="multilevel"/>
    <w:tmpl w:val="9F7CD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Palatino Linotype" w:hAnsi="Palatino Linotype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A6F2072"/>
    <w:multiLevelType w:val="multilevel"/>
    <w:tmpl w:val="95EC08D4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bCs w:val="0"/>
        <w:i w:val="0"/>
        <w:iCs w:val="0"/>
        <w:color w:val="365F91" w:themeColor="accent1" w:themeShade="BF"/>
        <w:w w:val="100"/>
        <w:sz w:val="27"/>
      </w:rPr>
    </w:lvl>
    <w:lvl w:ilvl="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31"/>
        </w:tabs>
        <w:ind w:left="1428" w:hanging="357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788"/>
        </w:tabs>
        <w:ind w:left="1785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502"/>
        </w:tabs>
        <w:ind w:left="2499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859"/>
        </w:tabs>
        <w:ind w:left="2856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22AB8"/>
    <w:multiLevelType w:val="multilevel"/>
    <w:tmpl w:val="9F7CD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Palatino Linotype" w:hAnsi="Palatino Linotype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CAD0233"/>
    <w:multiLevelType w:val="multilevel"/>
    <w:tmpl w:val="9F7CD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Palatino Linotype" w:hAnsi="Palatino Linotype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2894498"/>
    <w:multiLevelType w:val="multilevel"/>
    <w:tmpl w:val="95EC08D4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bCs w:val="0"/>
        <w:i w:val="0"/>
        <w:iCs w:val="0"/>
        <w:color w:val="365F91" w:themeColor="accent1" w:themeShade="BF"/>
        <w:w w:val="100"/>
        <w:sz w:val="27"/>
      </w:rPr>
    </w:lvl>
    <w:lvl w:ilvl="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31"/>
        </w:tabs>
        <w:ind w:left="1428" w:hanging="357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788"/>
        </w:tabs>
        <w:ind w:left="1785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502"/>
        </w:tabs>
        <w:ind w:left="2499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859"/>
        </w:tabs>
        <w:ind w:left="2856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  <w:sz w:val="20"/>
      </w:rPr>
    </w:lvl>
  </w:abstractNum>
  <w:num w:numId="1" w16cid:durableId="928392979">
    <w:abstractNumId w:val="8"/>
  </w:num>
  <w:num w:numId="2" w16cid:durableId="1004550717">
    <w:abstractNumId w:val="6"/>
  </w:num>
  <w:num w:numId="3" w16cid:durableId="554001392">
    <w:abstractNumId w:val="5"/>
  </w:num>
  <w:num w:numId="4" w16cid:durableId="334116217">
    <w:abstractNumId w:val="4"/>
  </w:num>
  <w:num w:numId="5" w16cid:durableId="865605934">
    <w:abstractNumId w:val="7"/>
  </w:num>
  <w:num w:numId="6" w16cid:durableId="1607497612">
    <w:abstractNumId w:val="3"/>
  </w:num>
  <w:num w:numId="7" w16cid:durableId="2004776786">
    <w:abstractNumId w:val="2"/>
  </w:num>
  <w:num w:numId="8" w16cid:durableId="1535844157">
    <w:abstractNumId w:val="1"/>
  </w:num>
  <w:num w:numId="9" w16cid:durableId="147521824">
    <w:abstractNumId w:val="0"/>
  </w:num>
  <w:num w:numId="10" w16cid:durableId="1306620343">
    <w:abstractNumId w:val="12"/>
  </w:num>
  <w:num w:numId="11" w16cid:durableId="1395926564">
    <w:abstractNumId w:val="15"/>
  </w:num>
  <w:num w:numId="12" w16cid:durableId="370106342">
    <w:abstractNumId w:val="10"/>
  </w:num>
  <w:num w:numId="13" w16cid:durableId="1118334284">
    <w:abstractNumId w:val="11"/>
  </w:num>
  <w:num w:numId="14" w16cid:durableId="974068834">
    <w:abstractNumId w:val="9"/>
  </w:num>
  <w:num w:numId="15" w16cid:durableId="1860241323">
    <w:abstractNumId w:val="13"/>
  </w:num>
  <w:num w:numId="16" w16cid:durableId="9244544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465E"/>
    <w:rsid w:val="0029639D"/>
    <w:rsid w:val="00326F90"/>
    <w:rsid w:val="008F7284"/>
    <w:rsid w:val="00A52EF8"/>
    <w:rsid w:val="00A602A7"/>
    <w:rsid w:val="00AA1D8D"/>
    <w:rsid w:val="00B47730"/>
    <w:rsid w:val="00C06AF2"/>
    <w:rsid w:val="00CB0664"/>
    <w:rsid w:val="00F441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E2609"/>
  <w14:defaultImageDpi w14:val="300"/>
  <w15:docId w15:val="{A1B8ABB5-1678-46FE-A6ED-ABDFB46F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65E"/>
    <w:rPr>
      <w:rFonts w:ascii="Aptos" w:hAnsi="Apto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ane">
    <w:name w:val="Dane"/>
    <w:basedOn w:val="Normalny"/>
    <w:qFormat/>
    <w:rsid w:val="0027465E"/>
    <w:pPr>
      <w:tabs>
        <w:tab w:val="left" w:leader="underscore" w:pos="4536"/>
      </w:tabs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 Wajda</cp:lastModifiedBy>
  <cp:revision>2</cp:revision>
  <dcterms:created xsi:type="dcterms:W3CDTF">2013-12-23T23:15:00Z</dcterms:created>
  <dcterms:modified xsi:type="dcterms:W3CDTF">2025-11-04T22:18:00Z</dcterms:modified>
  <cp:category/>
</cp:coreProperties>
</file>